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1603"/>
        <w:gridCol w:w="1648"/>
        <w:gridCol w:w="1984"/>
        <w:gridCol w:w="1701"/>
        <w:gridCol w:w="2070"/>
      </w:tblGrid>
      <w:tr w:rsidR="0021445E" w:rsidRPr="0021445E" w14:paraId="251C0078" w14:textId="77777777" w:rsidTr="00D31B20">
        <w:tc>
          <w:tcPr>
            <w:tcW w:w="9006" w:type="dxa"/>
            <w:gridSpan w:val="5"/>
            <w:tcBorders>
              <w:top w:val="single" w:sz="8" w:space="0" w:color="auto"/>
              <w:left w:val="single" w:sz="8" w:space="0" w:color="auto"/>
              <w:bottom w:val="single" w:sz="8" w:space="0" w:color="auto"/>
              <w:right w:val="single" w:sz="8" w:space="0" w:color="auto"/>
            </w:tcBorders>
            <w:shd w:val="clear" w:color="auto" w:fill="C9C9C9"/>
            <w:tcMar>
              <w:top w:w="0" w:type="dxa"/>
              <w:left w:w="108" w:type="dxa"/>
              <w:bottom w:w="0" w:type="dxa"/>
              <w:right w:w="108" w:type="dxa"/>
            </w:tcMar>
            <w:hideMark/>
          </w:tcPr>
          <w:p w14:paraId="3AF11D27"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bookmarkStart w:id="0" w:name="_GoBack"/>
            <w:bookmarkEnd w:id="0"/>
            <w:r w:rsidRPr="0021445E">
              <w:rPr>
                <w:rFonts w:ascii="Calibri Light" w:eastAsia="Times New Roman" w:hAnsi="Calibri Light" w:cs="Calibri Light"/>
                <w:color w:val="000000"/>
                <w:sz w:val="32"/>
                <w:szCs w:val="32"/>
                <w:lang w:eastAsia="en-GB"/>
              </w:rPr>
              <w:t>ST PIRANS CROSS HUB</w:t>
            </w:r>
          </w:p>
          <w:p w14:paraId="4EF84280"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32"/>
                <w:szCs w:val="32"/>
                <w:lang w:eastAsia="en-GB"/>
              </w:rPr>
              <w:t> </w:t>
            </w:r>
          </w:p>
        </w:tc>
      </w:tr>
      <w:tr w:rsidR="0021445E" w:rsidRPr="0021445E" w14:paraId="13A22EE2" w14:textId="77777777" w:rsidTr="0021445E">
        <w:tc>
          <w:tcPr>
            <w:tcW w:w="1603"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3E4AB883"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School</w:t>
            </w:r>
          </w:p>
        </w:tc>
        <w:tc>
          <w:tcPr>
            <w:tcW w:w="1648"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539546EA"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Amount received 2017-2018</w:t>
            </w:r>
          </w:p>
        </w:tc>
        <w:tc>
          <w:tcPr>
            <w:tcW w:w="1984"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20CE6A3C"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Projected Spend</w:t>
            </w:r>
          </w:p>
        </w:tc>
        <w:tc>
          <w:tcPr>
            <w:tcW w:w="1701"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29CE3080"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Actual Spend</w:t>
            </w:r>
          </w:p>
        </w:tc>
        <w:tc>
          <w:tcPr>
            <w:tcW w:w="207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66277AE2"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Remaining to carry forward into 2018 – 2019</w:t>
            </w:r>
          </w:p>
        </w:tc>
      </w:tr>
      <w:tr w:rsidR="0021445E" w:rsidRPr="0021445E" w14:paraId="48B13503" w14:textId="77777777" w:rsidTr="0021445E">
        <w:tc>
          <w:tcPr>
            <w:tcW w:w="1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ED5477"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 xml:space="preserve">Bishop </w:t>
            </w:r>
            <w:proofErr w:type="spellStart"/>
            <w:r w:rsidRPr="0021445E">
              <w:rPr>
                <w:rFonts w:ascii="Calibri Light" w:eastAsia="Times New Roman" w:hAnsi="Calibri Light" w:cs="Calibri Light"/>
                <w:color w:val="000000"/>
                <w:sz w:val="24"/>
                <w:szCs w:val="24"/>
                <w:lang w:eastAsia="en-GB"/>
              </w:rPr>
              <w:t>Bronescombe</w:t>
            </w:r>
            <w:proofErr w:type="spellEnd"/>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E3431"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18,680</w:t>
            </w:r>
          </w:p>
          <w:p w14:paraId="27B52946"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*CF - 5340</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FD245D"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 </w:t>
            </w:r>
          </w:p>
          <w:p w14:paraId="6968FDFE"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20,317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E4DD00"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 </w:t>
            </w:r>
          </w:p>
          <w:p w14:paraId="15FF4024"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14,073</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C515B"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 </w:t>
            </w:r>
          </w:p>
          <w:p w14:paraId="16DA1DAD" w14:textId="77777777" w:rsidR="0021445E" w:rsidRPr="0021445E" w:rsidRDefault="0021445E" w:rsidP="0021445E">
            <w:pPr>
              <w:spacing w:after="0" w:line="240" w:lineRule="auto"/>
              <w:rPr>
                <w:rFonts w:ascii="Calibri" w:eastAsia="Times New Roman" w:hAnsi="Calibri" w:cs="Calibri"/>
                <w:color w:val="000000"/>
                <w:sz w:val="24"/>
                <w:szCs w:val="24"/>
                <w:lang w:eastAsia="en-GB"/>
              </w:rPr>
            </w:pPr>
            <w:r w:rsidRPr="0021445E">
              <w:rPr>
                <w:rFonts w:ascii="Calibri Light" w:eastAsia="Times New Roman" w:hAnsi="Calibri Light" w:cs="Calibri Light"/>
                <w:color w:val="000000"/>
                <w:sz w:val="24"/>
                <w:szCs w:val="24"/>
                <w:lang w:eastAsia="en-GB"/>
              </w:rPr>
              <w:t>9947</w:t>
            </w:r>
          </w:p>
        </w:tc>
      </w:tr>
    </w:tbl>
    <w:p w14:paraId="514B92A6" w14:textId="77777777" w:rsidR="00E87BD5" w:rsidRDefault="003F5C97"/>
    <w:p w14:paraId="5B45CCFC" w14:textId="77777777" w:rsidR="0021445E" w:rsidRPr="0021445E" w:rsidRDefault="0021445E">
      <w:pPr>
        <w:rPr>
          <w:b/>
          <w:u w:val="single"/>
        </w:rPr>
      </w:pPr>
      <w:r w:rsidRPr="0021445E">
        <w:rPr>
          <w:b/>
          <w:u w:val="single"/>
        </w:rPr>
        <w:t xml:space="preserve">IMPACT of funding: </w:t>
      </w:r>
    </w:p>
    <w:p w14:paraId="1FD5C1DB" w14:textId="77777777" w:rsidR="0021445E" w:rsidRPr="0021445E" w:rsidRDefault="0021445E">
      <w:pPr>
        <w:rPr>
          <w:color w:val="0070C0"/>
        </w:rPr>
      </w:pPr>
      <w:r w:rsidRPr="0021445E">
        <w:rPr>
          <w:color w:val="0070C0"/>
        </w:rPr>
        <w:t xml:space="preserve">Key indicator 1: The engagement of all pupils in regular physical activity – Chief Medical Officer guidelines recommend that primary school children undertake at least 30 minutes of physical activity a day in school </w:t>
      </w:r>
    </w:p>
    <w:p w14:paraId="667AAE05" w14:textId="77777777" w:rsidR="00EC34AD" w:rsidRDefault="0021445E">
      <w:r>
        <w:t xml:space="preserve">Pupils attending clubs on a regular basis has remained relatively consistent across the </w:t>
      </w:r>
      <w:r w:rsidR="00A63A12">
        <w:t>year groups</w:t>
      </w:r>
      <w:r>
        <w:t xml:space="preserve">. See analysis. </w:t>
      </w:r>
      <w:r w:rsidR="00A63A12">
        <w:t>Some TAs have been leading after school sports clubs</w:t>
      </w:r>
      <w:r>
        <w:t xml:space="preserve"> leading to an increase in activity for targeted pupils. Staff are engaging in creating more active classrooms using </w:t>
      </w:r>
      <w:r w:rsidR="00EC34AD">
        <w:t>Maths of the Day</w:t>
      </w:r>
      <w:r>
        <w:t xml:space="preserve"> </w:t>
      </w:r>
      <w:r w:rsidR="00EC34AD">
        <w:t xml:space="preserve">and BBC Movers </w:t>
      </w:r>
      <w:r>
        <w:t xml:space="preserve">during the day but this needs embedding next year. </w:t>
      </w:r>
      <w:r w:rsidR="00EC34AD">
        <w:t xml:space="preserve">The </w:t>
      </w:r>
      <w:r>
        <w:t xml:space="preserve">Daily Mile is working well </w:t>
      </w:r>
      <w:r w:rsidR="00EC34AD">
        <w:t>in some classes but will need to be relaunched next year. S</w:t>
      </w:r>
      <w:r>
        <w:t xml:space="preserve">ports leaders run </w:t>
      </w:r>
      <w:r w:rsidR="00EC34AD">
        <w:t>lunchtime activities</w:t>
      </w:r>
      <w:r>
        <w:t xml:space="preserve">. </w:t>
      </w:r>
      <w:r w:rsidR="00EC34AD">
        <w:t>An orienteering course has been set up to enable cross curricular lessons but the use of this is not yet embedded.</w:t>
      </w:r>
    </w:p>
    <w:p w14:paraId="0B72F041" w14:textId="77777777" w:rsidR="0021445E" w:rsidRPr="0021445E" w:rsidRDefault="0021445E">
      <w:pPr>
        <w:rPr>
          <w:color w:val="0070C0"/>
        </w:rPr>
      </w:pPr>
      <w:r w:rsidRPr="0021445E">
        <w:rPr>
          <w:color w:val="0070C0"/>
        </w:rPr>
        <w:t xml:space="preserve">Key indicator 2: The profile of PE and sport being raised across the school as a tool for whole school improvement </w:t>
      </w:r>
    </w:p>
    <w:p w14:paraId="53779972" w14:textId="77777777" w:rsidR="0021445E" w:rsidRDefault="00EC34AD">
      <w:r>
        <w:t>We have</w:t>
      </w:r>
      <w:r w:rsidR="0021445E">
        <w:t xml:space="preserve"> a PE Noticeboard which is full of sporting information for pupils to use/view in addition to newsletters. Pupils want to be part of the newsletter &amp; are able to share in their success both within and outside of school through using the Wall of Fame. Parents are becoming better informed about physical activity and the importance that each school places on this. Pupils are rewarded within each PE using PE postcards these are taken home and shared with pupils. </w:t>
      </w:r>
      <w:r>
        <w:t>We have</w:t>
      </w:r>
      <w:r w:rsidR="0021445E">
        <w:t xml:space="preserve"> Sports </w:t>
      </w:r>
      <w:r>
        <w:t xml:space="preserve">Leaders </w:t>
      </w:r>
      <w:r w:rsidR="0021445E">
        <w:t xml:space="preserve">(pupils had to apply) and they are responsible for </w:t>
      </w:r>
      <w:r>
        <w:t xml:space="preserve">encouraging </w:t>
      </w:r>
      <w:r w:rsidR="0021445E">
        <w:t xml:space="preserve">pupils </w:t>
      </w:r>
      <w:r>
        <w:t xml:space="preserve">to </w:t>
      </w:r>
      <w:r w:rsidR="0021445E">
        <w:t>engage in regular physical activity</w:t>
      </w:r>
      <w:r>
        <w:t xml:space="preserve"> at lunchtime</w:t>
      </w:r>
      <w:r w:rsidR="0021445E">
        <w:t>. A range of comp</w:t>
      </w:r>
      <w:r>
        <w:t xml:space="preserve">etitions have been attended </w:t>
      </w:r>
      <w:r w:rsidR="0021445E">
        <w:t xml:space="preserve">both within school time and afterschool to increase the profile of sport &amp; PE. </w:t>
      </w:r>
      <w:r>
        <w:t>The school won three medals at the Cornwall School Games.</w:t>
      </w:r>
    </w:p>
    <w:p w14:paraId="2E468E38" w14:textId="77777777" w:rsidR="0021445E" w:rsidRPr="0021445E" w:rsidRDefault="0021445E">
      <w:pPr>
        <w:rPr>
          <w:color w:val="0070C0"/>
        </w:rPr>
      </w:pPr>
      <w:r w:rsidRPr="0021445E">
        <w:rPr>
          <w:color w:val="0070C0"/>
        </w:rPr>
        <w:t xml:space="preserve">Key indicator 3: Increased confidence, knowledge and skills of all staff in teaching PE and sport </w:t>
      </w:r>
    </w:p>
    <w:p w14:paraId="63CAD215" w14:textId="77777777" w:rsidR="00501BD4" w:rsidRDefault="0021445E">
      <w:r>
        <w:t>Staff hav</w:t>
      </w:r>
      <w:r w:rsidR="00501BD4">
        <w:t>e access to team teaching with</w:t>
      </w:r>
      <w:r>
        <w:t xml:space="preserve"> </w:t>
      </w:r>
      <w:r w:rsidR="00501BD4">
        <w:t>external coaches</w:t>
      </w:r>
      <w:r>
        <w:t xml:space="preserve"> </w:t>
      </w:r>
      <w:r w:rsidR="00501BD4">
        <w:t>throughout the year</w:t>
      </w:r>
      <w:r>
        <w:t xml:space="preserve"> (FA Coach, </w:t>
      </w:r>
      <w:r w:rsidR="00501BD4">
        <w:t>Cornish Pirates, Cornish Cricket Company</w:t>
      </w:r>
      <w:r>
        <w:t xml:space="preserve">). This helps to increase their confidence in a range of sports which has seen an increase in the number of sports clubs taking place (run by staff) &amp; therefore an increase in the participation rates of schools. </w:t>
      </w:r>
      <w:r w:rsidR="00501BD4">
        <w:t>A</w:t>
      </w:r>
      <w:r>
        <w:t>t lea</w:t>
      </w:r>
      <w:r w:rsidR="00501BD4">
        <w:t>st 40% of our pupils take</w:t>
      </w:r>
      <w:r>
        <w:t xml:space="preserve"> part in </w:t>
      </w:r>
      <w:r w:rsidR="00501BD4">
        <w:t>after school sports clubs each term. Across the year 70% of children attended an after school sports club</w:t>
      </w:r>
      <w:r>
        <w:t xml:space="preserve">. Please see Clubs Analysis document on websites for more details. </w:t>
      </w:r>
      <w:r w:rsidR="00501BD4">
        <w:t>We have</w:t>
      </w:r>
      <w:r>
        <w:t xml:space="preserve"> a broad, inclusive &amp; progressive curriculum that enables pupils to develop their physical skills alongside their tactical knowledge &amp; understanding. Running alongside this, teachers have access to appropriate resources to</w:t>
      </w:r>
      <w:r w:rsidR="00501BD4">
        <w:t xml:space="preserve"> aid delivery (ARENA/</w:t>
      </w:r>
      <w:proofErr w:type="spellStart"/>
      <w:r w:rsidR="00501BD4">
        <w:t>Sharepoint</w:t>
      </w:r>
      <w:proofErr w:type="spellEnd"/>
      <w:r w:rsidR="00501BD4">
        <w:t>)</w:t>
      </w:r>
      <w:r>
        <w:t xml:space="preserve">. Teaching and support staff have attended courses related to PESSPA which helps to increase the confidence of staff to teach a RANGE of activities within PE, ensuring breadth within the curriculum for pupils to experience. Staff are therefore positive towards the subject &amp; its value and pupils therefore ENJOY &amp; ENGAGE in PE with positive attitudes. </w:t>
      </w:r>
    </w:p>
    <w:p w14:paraId="76EA645D" w14:textId="77777777" w:rsidR="0021445E" w:rsidRPr="0021445E" w:rsidRDefault="0021445E">
      <w:pPr>
        <w:rPr>
          <w:color w:val="0070C0"/>
        </w:rPr>
      </w:pPr>
      <w:r w:rsidRPr="0021445E">
        <w:rPr>
          <w:color w:val="0070C0"/>
        </w:rPr>
        <w:lastRenderedPageBreak/>
        <w:t xml:space="preserve">Key indicator 4: Broader experience of a range of sports and activities offered to all pupils </w:t>
      </w:r>
    </w:p>
    <w:p w14:paraId="191943D7" w14:textId="77777777" w:rsidR="00F37463" w:rsidRDefault="00F37463">
      <w:r>
        <w:t>We have</w:t>
      </w:r>
      <w:r w:rsidR="0021445E">
        <w:t xml:space="preserve"> a broad, inclusive &amp; progressive curriculum that enables pupils to develop their physical skills alongside their tactical knowledge &amp; understanding. The curriculum is </w:t>
      </w:r>
      <w:r>
        <w:t>on the website</w:t>
      </w:r>
      <w:r w:rsidR="0021445E">
        <w:t xml:space="preserve">. Good levels of participation and </w:t>
      </w:r>
      <w:r>
        <w:t xml:space="preserve">a </w:t>
      </w:r>
      <w:r w:rsidR="0021445E">
        <w:t xml:space="preserve">range of clubs </w:t>
      </w:r>
      <w:r>
        <w:t>are available</w:t>
      </w:r>
      <w:r w:rsidR="0021445E">
        <w:t xml:space="preserve"> – see clubs </w:t>
      </w:r>
      <w:r>
        <w:t>analysis</w:t>
      </w:r>
      <w:r w:rsidR="0021445E">
        <w:t xml:space="preserve"> document. Introduction of different activities– for example </w:t>
      </w:r>
      <w:r>
        <w:t>OAA, stunts and tricks, and street dance</w:t>
      </w:r>
      <w:r w:rsidR="0021445E">
        <w:t>. Coaches worked within to provide a broader experience – they worked alongside staff du</w:t>
      </w:r>
      <w:r>
        <w:t>ring lesson</w:t>
      </w:r>
      <w:r w:rsidR="0021445E">
        <w:t>s in order to upski</w:t>
      </w:r>
      <w:r>
        <w:t>ll them and</w:t>
      </w:r>
      <w:r w:rsidR="0021445E">
        <w:t xml:space="preserve"> provide them with greater confidence to deliver their own. </w:t>
      </w:r>
    </w:p>
    <w:p w14:paraId="794C52EA" w14:textId="77777777" w:rsidR="00A63A12" w:rsidRPr="00A63A12" w:rsidRDefault="0021445E">
      <w:pPr>
        <w:rPr>
          <w:color w:val="0070C0"/>
        </w:rPr>
      </w:pPr>
      <w:r w:rsidRPr="00A63A12">
        <w:rPr>
          <w:color w:val="0070C0"/>
        </w:rPr>
        <w:t xml:space="preserve">Key indicator 5: Increased participation in competitive sport </w:t>
      </w:r>
    </w:p>
    <w:p w14:paraId="0015C39D" w14:textId="77777777" w:rsidR="0021445E" w:rsidRDefault="0021445E">
      <w:r>
        <w:t xml:space="preserve">More pupils having access to competition, whether this is within school, </w:t>
      </w:r>
      <w:r w:rsidR="00F37463">
        <w:t>competing against other schools in the MAT, regular netball and football fixtures, MCSN and Cornwall School Games</w:t>
      </w:r>
      <w:r>
        <w:t xml:space="preserve">. </w:t>
      </w:r>
      <w:r w:rsidR="00F37463">
        <w:t xml:space="preserve">All KS2 pupils experienced competition in school as part of PE lessons. Three medals were won in the Cornwall School Games and in total four teams represented the school at the Cornwall School Games Finals (sports hall athletics, </w:t>
      </w:r>
      <w:r w:rsidR="0006700F">
        <w:t>dance x2 and tennis).</w:t>
      </w:r>
    </w:p>
    <w:sectPr w:rsidR="00214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45E"/>
    <w:rsid w:val="0006700F"/>
    <w:rsid w:val="0021445E"/>
    <w:rsid w:val="003734DC"/>
    <w:rsid w:val="003F5C97"/>
    <w:rsid w:val="00501BD4"/>
    <w:rsid w:val="005C6ED0"/>
    <w:rsid w:val="00A63A12"/>
    <w:rsid w:val="00E1621D"/>
    <w:rsid w:val="00EC34AD"/>
    <w:rsid w:val="00F3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3CB6"/>
  <w15:chartTrackingRefBased/>
  <w15:docId w15:val="{E1977485-4CBC-4266-9AB2-F808BBF7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4407">
      <w:bodyDiv w:val="1"/>
      <w:marLeft w:val="0"/>
      <w:marRight w:val="0"/>
      <w:marTop w:val="0"/>
      <w:marBottom w:val="0"/>
      <w:divBdr>
        <w:top w:val="none" w:sz="0" w:space="0" w:color="auto"/>
        <w:left w:val="none" w:sz="0" w:space="0" w:color="auto"/>
        <w:bottom w:val="none" w:sz="0" w:space="0" w:color="auto"/>
        <w:right w:val="none" w:sz="0" w:space="0" w:color="auto"/>
      </w:divBdr>
    </w:div>
    <w:div w:id="18724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Daysh</dc:creator>
  <cp:keywords/>
  <dc:description/>
  <cp:lastModifiedBy>jazmin danks</cp:lastModifiedBy>
  <cp:revision>2</cp:revision>
  <dcterms:created xsi:type="dcterms:W3CDTF">2019-03-05T10:39:00Z</dcterms:created>
  <dcterms:modified xsi:type="dcterms:W3CDTF">2019-03-05T10:39:00Z</dcterms:modified>
</cp:coreProperties>
</file>